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4FE30" w14:textId="0122089A" w:rsidR="0000239C" w:rsidRDefault="002972C9" w:rsidP="002972C9">
      <w:pPr>
        <w:jc w:val="center"/>
        <w:rPr>
          <w:b/>
          <w:bCs/>
        </w:rPr>
      </w:pPr>
      <w:r w:rsidRPr="002972C9">
        <w:rPr>
          <w:b/>
          <w:bCs/>
        </w:rPr>
        <w:t>PMOS PADL Crib sheet</w:t>
      </w:r>
    </w:p>
    <w:p w14:paraId="0150615C" w14:textId="2D98CF06" w:rsidR="00CF4B55" w:rsidRPr="00CF4B55" w:rsidRDefault="00CF4B55" w:rsidP="00CF4B55">
      <w:pPr>
        <w:rPr>
          <w:b/>
          <w:bCs/>
        </w:rPr>
      </w:pPr>
      <w:r w:rsidRPr="00CF4B55">
        <w:rPr>
          <w:b/>
          <w:bCs/>
        </w:rPr>
        <w:t xml:space="preserve">Intolerances </w:t>
      </w:r>
    </w:p>
    <w:p w14:paraId="03B3C631" w14:textId="77777777" w:rsidR="00CF4B55" w:rsidRPr="00CF4B55" w:rsidRDefault="00CF4B55" w:rsidP="00CF4B55">
      <w:r w:rsidRPr="00CF4B55">
        <w:t>Non-immune mediated, non-severe events</w:t>
      </w:r>
    </w:p>
    <w:p w14:paraId="22C6E905" w14:textId="77777777" w:rsidR="00CF4B55" w:rsidRPr="00CF4B55" w:rsidRDefault="00CF4B55" w:rsidP="00CF4B55">
      <w:r w:rsidRPr="00CF4B55">
        <w:t>Includes: nausea, vomiting, diarrhoea, thrush, headache</w:t>
      </w:r>
    </w:p>
    <w:p w14:paraId="43E63207" w14:textId="77777777" w:rsidR="00CF4B55" w:rsidRPr="00CF4B55" w:rsidRDefault="00CF4B55" w:rsidP="00CF4B55">
      <w:r w:rsidRPr="00CF4B55">
        <w:t>Other: family history of penicillin allergy but non-exposure of patient.</w:t>
      </w:r>
    </w:p>
    <w:p w14:paraId="14C17AC0" w14:textId="40F3FB77" w:rsidR="00CF4B55" w:rsidRPr="00DE5072" w:rsidRDefault="00CF4B55" w:rsidP="00CF4B55">
      <w:pPr>
        <w:rPr>
          <w:b/>
          <w:bCs/>
          <w:i/>
          <w:iCs/>
        </w:rPr>
      </w:pPr>
      <w:r w:rsidRPr="00DE5072">
        <w:rPr>
          <w:b/>
          <w:bCs/>
          <w:i/>
          <w:iCs/>
        </w:rPr>
        <w:t>Management – direct de-label</w:t>
      </w:r>
    </w:p>
    <w:p w14:paraId="762B6659" w14:textId="77777777" w:rsidR="00CF4B55" w:rsidRPr="00CF4B55" w:rsidRDefault="00CF4B55" w:rsidP="00CF4B55">
      <w:pPr>
        <w:rPr>
          <w:b/>
          <w:bCs/>
        </w:rPr>
      </w:pPr>
      <w:r w:rsidRPr="00CF4B55">
        <w:rPr>
          <w:b/>
          <w:bCs/>
        </w:rPr>
        <w:t xml:space="preserve">Low risk </w:t>
      </w:r>
    </w:p>
    <w:p w14:paraId="7A0258D8" w14:textId="03B9C1B5" w:rsidR="00CF4B55" w:rsidRPr="00CF4B55" w:rsidRDefault="00CF4B55" w:rsidP="00CF4B55">
      <w:r w:rsidRPr="00CF4B55">
        <w:t xml:space="preserve">Childhood exanthem </w:t>
      </w:r>
      <w:bookmarkStart w:id="0" w:name="_Hlk191306025"/>
      <w:r w:rsidRPr="00CF4B55">
        <w:t>without severe features (</w:t>
      </w:r>
      <w:r w:rsidR="00DE5072">
        <w:t xml:space="preserve">no </w:t>
      </w:r>
      <w:r w:rsidRPr="00CF4B55">
        <w:t xml:space="preserve">hospitalisation, </w:t>
      </w:r>
      <w:r w:rsidR="00DE5072">
        <w:t xml:space="preserve">no </w:t>
      </w:r>
      <w:r w:rsidRPr="00CF4B55">
        <w:t>adrenaline),</w:t>
      </w:r>
      <w:bookmarkEnd w:id="0"/>
    </w:p>
    <w:p w14:paraId="471741B1" w14:textId="5AD6DB5C" w:rsidR="00CF4B55" w:rsidRPr="00CF4B55" w:rsidRDefault="00CF4B55" w:rsidP="00CF4B55">
      <w:r w:rsidRPr="00CF4B55">
        <w:t>Diffuse rash without severe features &gt;10 years ago</w:t>
      </w:r>
      <w:r w:rsidR="0000239C">
        <w:t xml:space="preserve"> (</w:t>
      </w:r>
      <w:r w:rsidR="00DE5072">
        <w:t xml:space="preserve">no </w:t>
      </w:r>
      <w:r w:rsidR="0000239C">
        <w:t xml:space="preserve">hospitalisation, </w:t>
      </w:r>
      <w:r w:rsidR="00DE5072">
        <w:t xml:space="preserve">no </w:t>
      </w:r>
      <w:r w:rsidR="0000239C">
        <w:t>urticaria</w:t>
      </w:r>
      <w:r w:rsidRPr="00CF4B55">
        <w:t xml:space="preserve">, </w:t>
      </w:r>
      <w:r w:rsidR="00DE5072">
        <w:t xml:space="preserve">no </w:t>
      </w:r>
      <w:r w:rsidR="0000239C">
        <w:t>adrenaline)</w:t>
      </w:r>
    </w:p>
    <w:p w14:paraId="34F2B589" w14:textId="272D477F" w:rsidR="00CF4B55" w:rsidRDefault="00CF4B55" w:rsidP="00CF4B55">
      <w:r w:rsidRPr="00CF4B55">
        <w:t>Unknown reaction &gt;10 years ago (inc. unknown childhood reaction)</w:t>
      </w:r>
      <w:r w:rsidR="0000239C" w:rsidRPr="0000239C">
        <w:t xml:space="preserve"> without severe features (</w:t>
      </w:r>
      <w:r w:rsidR="00DE5072">
        <w:t xml:space="preserve">no </w:t>
      </w:r>
      <w:r w:rsidR="0000239C" w:rsidRPr="0000239C">
        <w:t xml:space="preserve">hospitalisation, </w:t>
      </w:r>
      <w:r w:rsidR="00DE5072">
        <w:t xml:space="preserve">no </w:t>
      </w:r>
      <w:r w:rsidR="0000239C">
        <w:t xml:space="preserve">urticaria, </w:t>
      </w:r>
      <w:r w:rsidR="00DE5072">
        <w:t xml:space="preserve">no </w:t>
      </w:r>
      <w:r w:rsidR="0000239C" w:rsidRPr="0000239C">
        <w:t>adrenaline</w:t>
      </w:r>
      <w:r w:rsidR="00DE5072">
        <w:t>)</w:t>
      </w:r>
      <w:r w:rsidR="0000239C">
        <w:t>.</w:t>
      </w:r>
    </w:p>
    <w:p w14:paraId="7019BC20" w14:textId="017F439D" w:rsidR="00CF4B55" w:rsidRDefault="0000239C" w:rsidP="00CF4B55">
      <w:pPr>
        <w:rPr>
          <w:b/>
          <w:bCs/>
          <w:i/>
          <w:iCs/>
        </w:rPr>
      </w:pPr>
      <w:r w:rsidRPr="00DE5072">
        <w:rPr>
          <w:b/>
          <w:bCs/>
          <w:i/>
          <w:iCs/>
        </w:rPr>
        <w:t xml:space="preserve">Management – if tolerated a penicillin since index reaction then direct de-label </w:t>
      </w:r>
    </w:p>
    <w:p w14:paraId="54A443DC" w14:textId="413367D6" w:rsidR="00DE5072" w:rsidRDefault="00DE5072" w:rsidP="00CF4B55">
      <w:r>
        <w:t>Anything else, exclude. If in doubt, exclude</w:t>
      </w:r>
    </w:p>
    <w:p w14:paraId="23F6B5B5" w14:textId="77777777" w:rsidR="00DE5072" w:rsidRDefault="00DE5072" w:rsidP="00CF4B55"/>
    <w:p w14:paraId="4ED25A7B" w14:textId="450EC17E" w:rsidR="00DE5072" w:rsidRDefault="00DE5072" w:rsidP="00CF4B55">
      <w:pPr>
        <w:rPr>
          <w:b/>
          <w:bCs/>
        </w:rPr>
      </w:pPr>
      <w:r w:rsidRPr="00DE5072">
        <w:rPr>
          <w:b/>
          <w:bCs/>
        </w:rPr>
        <w:t>Patient counselling points</w:t>
      </w:r>
    </w:p>
    <w:p w14:paraId="45214BFF" w14:textId="0009B2F0" w:rsidR="00DE5072" w:rsidRDefault="00DE5072" w:rsidP="00CF4B55">
      <w:pPr>
        <w:rPr>
          <w:i/>
          <w:iCs/>
        </w:rPr>
      </w:pPr>
      <w:r w:rsidRPr="00DE5072">
        <w:rPr>
          <w:i/>
          <w:iCs/>
        </w:rPr>
        <w:t xml:space="preserve">Penicillins are </w:t>
      </w:r>
      <w:r w:rsidRPr="00DE5072">
        <w:rPr>
          <w:i/>
          <w:iCs/>
        </w:rPr>
        <w:t xml:space="preserve">a group of 5 antibiotics and are </w:t>
      </w:r>
      <w:r w:rsidRPr="00DE5072">
        <w:rPr>
          <w:i/>
          <w:iCs/>
        </w:rPr>
        <w:t>often first line for most common infections; effective and well tolerated.</w:t>
      </w:r>
      <w:r w:rsidRPr="00DE5072">
        <w:rPr>
          <w:i/>
          <w:iCs/>
        </w:rPr>
        <w:t xml:space="preserve"> Lots of people have a </w:t>
      </w:r>
      <w:proofErr w:type="spellStart"/>
      <w:r w:rsidRPr="00DE5072">
        <w:rPr>
          <w:i/>
          <w:iCs/>
        </w:rPr>
        <w:t>penA</w:t>
      </w:r>
      <w:proofErr w:type="spellEnd"/>
      <w:r w:rsidRPr="00DE5072">
        <w:rPr>
          <w:i/>
          <w:iCs/>
        </w:rPr>
        <w:t xml:space="preserve"> records (about 10% of GP listed patients) but most of these patients (95%) can tolerate penicillin antibiotics. You have a low risk </w:t>
      </w:r>
      <w:proofErr w:type="spellStart"/>
      <w:r w:rsidRPr="00DE5072">
        <w:rPr>
          <w:i/>
          <w:iCs/>
        </w:rPr>
        <w:t>penA</w:t>
      </w:r>
      <w:proofErr w:type="spellEnd"/>
      <w:r w:rsidRPr="00DE5072">
        <w:rPr>
          <w:i/>
          <w:iCs/>
        </w:rPr>
        <w:t xml:space="preserve"> history which means you are unlikely to have a reaction to penicillin and we know that you have since had a penicillin and you were fine with that</w:t>
      </w:r>
      <w:r>
        <w:rPr>
          <w:i/>
          <w:iCs/>
        </w:rPr>
        <w:t xml:space="preserve"> which means no longer need to unnecessarily continue to avoid penicillin antibiotics</w:t>
      </w:r>
      <w:r w:rsidRPr="00DE5072">
        <w:rPr>
          <w:i/>
          <w:iCs/>
        </w:rPr>
        <w:t xml:space="preserve">.   </w:t>
      </w:r>
    </w:p>
    <w:p w14:paraId="79E23044" w14:textId="77777777" w:rsidR="00DE5072" w:rsidRDefault="00DE5072" w:rsidP="00CF4B55">
      <w:pPr>
        <w:rPr>
          <w:i/>
          <w:iCs/>
        </w:rPr>
      </w:pPr>
    </w:p>
    <w:p w14:paraId="6045BE2C" w14:textId="77777777" w:rsidR="00DE5072" w:rsidRDefault="00DE5072" w:rsidP="00CF4B55">
      <w:pPr>
        <w:rPr>
          <w:i/>
          <w:iCs/>
        </w:rPr>
      </w:pPr>
    </w:p>
    <w:p w14:paraId="2C5510F1" w14:textId="77777777" w:rsidR="00DE5072" w:rsidRDefault="00DE5072" w:rsidP="00CF4B55">
      <w:pPr>
        <w:rPr>
          <w:i/>
          <w:iCs/>
        </w:rPr>
      </w:pPr>
    </w:p>
    <w:p w14:paraId="4C9C13D4" w14:textId="77777777" w:rsidR="00DE5072" w:rsidRDefault="00DE5072" w:rsidP="00CF4B55">
      <w:pPr>
        <w:rPr>
          <w:i/>
          <w:iCs/>
        </w:rPr>
      </w:pPr>
    </w:p>
    <w:p w14:paraId="25A2C8AA" w14:textId="77777777" w:rsidR="00DE5072" w:rsidRDefault="00DE5072" w:rsidP="00CF4B55">
      <w:pPr>
        <w:rPr>
          <w:i/>
          <w:iCs/>
        </w:rPr>
      </w:pPr>
    </w:p>
    <w:p w14:paraId="1A9F70D8" w14:textId="77777777" w:rsidR="00DE5072" w:rsidRDefault="00DE5072" w:rsidP="00CF4B55">
      <w:pPr>
        <w:rPr>
          <w:i/>
          <w:iCs/>
        </w:rPr>
      </w:pPr>
    </w:p>
    <w:p w14:paraId="58C42946" w14:textId="77777777" w:rsidR="00DE5072" w:rsidRDefault="00DE5072" w:rsidP="00CF4B55">
      <w:pPr>
        <w:rPr>
          <w:i/>
          <w:iCs/>
        </w:rPr>
      </w:pPr>
    </w:p>
    <w:p w14:paraId="064063AC" w14:textId="77777777" w:rsidR="00DE5072" w:rsidRDefault="00DE5072" w:rsidP="00CF4B55">
      <w:pPr>
        <w:rPr>
          <w:i/>
          <w:iCs/>
        </w:rPr>
      </w:pPr>
    </w:p>
    <w:p w14:paraId="7BB26B73" w14:textId="77777777" w:rsidR="00DE5072" w:rsidRDefault="00DE5072" w:rsidP="00CF4B55">
      <w:pPr>
        <w:rPr>
          <w:i/>
          <w:iCs/>
        </w:rPr>
      </w:pPr>
    </w:p>
    <w:p w14:paraId="569314AF" w14:textId="77777777" w:rsidR="00DE5072" w:rsidRDefault="00DE5072" w:rsidP="00DE5072">
      <w:pPr>
        <w:pStyle w:val="Default"/>
      </w:pPr>
      <w:r>
        <w:lastRenderedPageBreak/>
        <w:t xml:space="preserve">Taken from NICE Drug allergy 2014 guidelines </w:t>
      </w:r>
      <w:r w:rsidRPr="003E275A">
        <w:rPr>
          <w:sz w:val="22"/>
          <w:szCs w:val="22"/>
        </w:rPr>
        <w:t xml:space="preserve"> </w:t>
      </w:r>
      <w:hyperlink r:id="rId5" w:history="1">
        <w:r w:rsidRPr="003E275A">
          <w:rPr>
            <w:rStyle w:val="Hyperlink"/>
            <w:sz w:val="22"/>
            <w:szCs w:val="22"/>
          </w:rPr>
          <w:t>www.nice.org.uk/guidance/cg183</w:t>
        </w:r>
      </w:hyperlink>
    </w:p>
    <w:p w14:paraId="638D74C9" w14:textId="77777777" w:rsidR="00DE5072" w:rsidRDefault="00DE5072" w:rsidP="00DE5072">
      <w:pPr>
        <w:pStyle w:val="Default"/>
      </w:pPr>
    </w:p>
    <w:tbl>
      <w:tblPr>
        <w:tblW w:w="10154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43"/>
      </w:tblGrid>
      <w:tr w:rsidR="00DE5072" w:rsidRPr="00DE5072" w14:paraId="157EEE4C" w14:textId="77777777" w:rsidTr="002231DA">
        <w:trPr>
          <w:trHeight w:val="16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61C7C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rFonts w:cstheme="minorBidi"/>
                <w:b/>
                <w:bCs/>
                <w:color w:val="auto"/>
                <w:sz w:val="22"/>
                <w:szCs w:val="22"/>
              </w:rPr>
              <w:t>Box 1 Immediate, rapidly evolving reactions</w:t>
            </w:r>
            <w:r w:rsidRPr="00DE5072">
              <w:rPr>
                <w:rFonts w:cstheme="minorBidi"/>
                <w:color w:val="auto"/>
                <w:sz w:val="22"/>
                <w:szCs w:val="22"/>
              </w:rPr>
              <w:t xml:space="preserve"> </w:t>
            </w:r>
            <w:r w:rsidRPr="00DE5072">
              <w:rPr>
                <w:sz w:val="22"/>
                <w:szCs w:val="22"/>
              </w:rPr>
              <w:t xml:space="preserve">Anaphylaxis – a severe multi-system reaction characterised by: </w:t>
            </w:r>
          </w:p>
          <w:p w14:paraId="7F3F963D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</w:p>
          <w:p w14:paraId="45739028" w14:textId="77777777" w:rsidR="00DE5072" w:rsidRPr="00DE5072" w:rsidRDefault="00DE5072" w:rsidP="002231DA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erythema, urticaria or angioedema and </w:t>
            </w:r>
          </w:p>
          <w:p w14:paraId="7D6E1AE1" w14:textId="77777777" w:rsidR="00DE5072" w:rsidRPr="00DE5072" w:rsidRDefault="00DE5072" w:rsidP="002231DA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hypotension and/or bronchospasm </w:t>
            </w:r>
          </w:p>
        </w:tc>
        <w:tc>
          <w:tcPr>
            <w:tcW w:w="4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D77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Onset usually less than 1 hour after drug exposure (previous exposure not always confirmed) </w:t>
            </w:r>
          </w:p>
        </w:tc>
      </w:tr>
      <w:tr w:rsidR="00DE5072" w:rsidRPr="00DE5072" w14:paraId="1040AE34" w14:textId="77777777" w:rsidTr="002231DA">
        <w:trPr>
          <w:trHeight w:val="31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8B3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Urticaria or angioedema without systemic features </w:t>
            </w:r>
          </w:p>
        </w:tc>
        <w:tc>
          <w:tcPr>
            <w:tcW w:w="4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29F" w14:textId="77777777" w:rsidR="00DE5072" w:rsidRPr="00DE5072" w:rsidRDefault="00DE5072" w:rsidP="002231DA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</w:tc>
      </w:tr>
    </w:tbl>
    <w:p w14:paraId="1C67BC76" w14:textId="77777777" w:rsidR="00DE5072" w:rsidRPr="00DE5072" w:rsidRDefault="00DE5072" w:rsidP="00DE5072">
      <w:pPr>
        <w:pStyle w:val="Default"/>
        <w:rPr>
          <w:sz w:val="22"/>
          <w:szCs w:val="22"/>
        </w:rPr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5077"/>
      </w:tblGrid>
      <w:tr w:rsidR="00DE5072" w:rsidRPr="00DE5072" w14:paraId="5EC90755" w14:textId="77777777" w:rsidTr="002231DA">
        <w:trPr>
          <w:trHeight w:val="312"/>
        </w:trPr>
        <w:tc>
          <w:tcPr>
            <w:tcW w:w="5077" w:type="dxa"/>
            <w:tcBorders>
              <w:right w:val="single" w:sz="4" w:space="0" w:color="auto"/>
            </w:tcBorders>
          </w:tcPr>
          <w:p w14:paraId="52B5BDDA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rFonts w:cstheme="minorBidi"/>
                <w:b/>
                <w:bCs/>
                <w:color w:val="auto"/>
                <w:sz w:val="22"/>
                <w:szCs w:val="22"/>
              </w:rPr>
              <w:t xml:space="preserve">Box 2 </w:t>
            </w:r>
            <w:proofErr w:type="gramStart"/>
            <w:r w:rsidRPr="00DE5072">
              <w:rPr>
                <w:rFonts w:cstheme="minorBidi"/>
                <w:b/>
                <w:bCs/>
                <w:color w:val="auto"/>
                <w:sz w:val="22"/>
                <w:szCs w:val="22"/>
              </w:rPr>
              <w:t>Non-immediate</w:t>
            </w:r>
            <w:proofErr w:type="gramEnd"/>
            <w:r w:rsidRPr="00DE5072">
              <w:rPr>
                <w:rFonts w:cstheme="minorBidi"/>
                <w:color w:val="auto"/>
                <w:sz w:val="22"/>
                <w:szCs w:val="22"/>
              </w:rPr>
              <w:t xml:space="preserve"> reactions without systemic involvement </w:t>
            </w:r>
            <w:r w:rsidRPr="00DE5072">
              <w:rPr>
                <w:sz w:val="22"/>
                <w:szCs w:val="22"/>
              </w:rPr>
              <w:t xml:space="preserve">Widespread red macules or papules (exanthema-like) </w:t>
            </w:r>
          </w:p>
        </w:tc>
        <w:tc>
          <w:tcPr>
            <w:tcW w:w="5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13CDF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Onset usually 6–10 days after first drug exposure or within 3 days of second exposure </w:t>
            </w:r>
          </w:p>
        </w:tc>
      </w:tr>
      <w:tr w:rsidR="00DE5072" w:rsidRPr="00DE5072" w14:paraId="3E17161B" w14:textId="77777777" w:rsidTr="002231DA">
        <w:trPr>
          <w:trHeight w:val="312"/>
        </w:trPr>
        <w:tc>
          <w:tcPr>
            <w:tcW w:w="5077" w:type="dxa"/>
            <w:tcBorders>
              <w:right w:val="single" w:sz="4" w:space="0" w:color="auto"/>
            </w:tcBorders>
          </w:tcPr>
          <w:p w14:paraId="612B3D4A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Fixed drug eruption (localised inflamed skin) </w:t>
            </w:r>
          </w:p>
        </w:tc>
        <w:tc>
          <w:tcPr>
            <w:tcW w:w="507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DB31EC" w14:textId="77777777" w:rsidR="00DE5072" w:rsidRPr="00DE5072" w:rsidRDefault="00DE5072" w:rsidP="002231DA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</w:p>
        </w:tc>
      </w:tr>
    </w:tbl>
    <w:p w14:paraId="16B7EED1" w14:textId="77777777" w:rsidR="00DE5072" w:rsidRPr="00DE5072" w:rsidRDefault="00DE5072" w:rsidP="00DE5072">
      <w:pPr>
        <w:pStyle w:val="Default"/>
        <w:rPr>
          <w:sz w:val="22"/>
          <w:szCs w:val="22"/>
        </w:rPr>
      </w:pPr>
    </w:p>
    <w:tbl>
      <w:tblPr>
        <w:tblW w:w="995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6"/>
        <w:gridCol w:w="4976"/>
      </w:tblGrid>
      <w:tr w:rsidR="00DE5072" w:rsidRPr="00DE5072" w14:paraId="55781422" w14:textId="77777777" w:rsidTr="002231DA">
        <w:trPr>
          <w:trHeight w:val="2006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5B5" w14:textId="77777777" w:rsidR="00DE5072" w:rsidRPr="00DE5072" w:rsidRDefault="00DE5072" w:rsidP="002231DA">
            <w:pPr>
              <w:pStyle w:val="Default"/>
              <w:rPr>
                <w:rFonts w:cstheme="minorBidi"/>
                <w:color w:val="auto"/>
                <w:sz w:val="22"/>
                <w:szCs w:val="22"/>
              </w:rPr>
            </w:pPr>
            <w:r w:rsidRPr="00DE5072">
              <w:rPr>
                <w:rFonts w:cstheme="minorBidi"/>
                <w:b/>
                <w:bCs/>
                <w:color w:val="auto"/>
                <w:sz w:val="22"/>
                <w:szCs w:val="22"/>
              </w:rPr>
              <w:t xml:space="preserve">Box 3 </w:t>
            </w:r>
            <w:proofErr w:type="gramStart"/>
            <w:r w:rsidRPr="00DE5072">
              <w:rPr>
                <w:rFonts w:cstheme="minorBidi"/>
                <w:b/>
                <w:bCs/>
                <w:color w:val="auto"/>
                <w:sz w:val="22"/>
                <w:szCs w:val="22"/>
              </w:rPr>
              <w:t>Non-immediate</w:t>
            </w:r>
            <w:proofErr w:type="gramEnd"/>
            <w:r w:rsidRPr="00DE5072">
              <w:rPr>
                <w:rFonts w:cstheme="minorBidi"/>
                <w:color w:val="auto"/>
                <w:sz w:val="22"/>
                <w:szCs w:val="22"/>
              </w:rPr>
              <w:t xml:space="preserve"> reactions with systemic involvement </w:t>
            </w:r>
          </w:p>
          <w:p w14:paraId="351D79EB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Drug reaction with eosinophilia and systemic symptoms (DRESS) or drug hypersensitivity syndrome (DHS) characterised by: </w:t>
            </w:r>
          </w:p>
          <w:p w14:paraId="46DB0C0E" w14:textId="77777777" w:rsidR="00DE5072" w:rsidRPr="00DE5072" w:rsidRDefault="00DE5072" w:rsidP="002231D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widespread red macules, papules or erythroderma </w:t>
            </w:r>
          </w:p>
          <w:p w14:paraId="5C6A4D33" w14:textId="77777777" w:rsidR="00DE5072" w:rsidRPr="00DE5072" w:rsidRDefault="00DE5072" w:rsidP="002231D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fever </w:t>
            </w:r>
          </w:p>
          <w:p w14:paraId="75208EBE" w14:textId="77777777" w:rsidR="00DE5072" w:rsidRPr="00DE5072" w:rsidRDefault="00DE5072" w:rsidP="002231D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lymphadenopathy </w:t>
            </w:r>
          </w:p>
          <w:p w14:paraId="7D10FA78" w14:textId="77777777" w:rsidR="00DE5072" w:rsidRPr="00DE5072" w:rsidRDefault="00DE5072" w:rsidP="002231D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liver dysfunction </w:t>
            </w:r>
          </w:p>
          <w:p w14:paraId="0F65B9B8" w14:textId="77777777" w:rsidR="00DE5072" w:rsidRPr="00DE5072" w:rsidRDefault="00DE5072" w:rsidP="002231D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eosinophilia </w:t>
            </w:r>
          </w:p>
          <w:p w14:paraId="4C927F84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C338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Onset usually 2–6 weeks after first drug exposure or within 3 days of second exposure </w:t>
            </w:r>
          </w:p>
        </w:tc>
      </w:tr>
      <w:tr w:rsidR="00DE5072" w:rsidRPr="00DE5072" w14:paraId="03D31CCF" w14:textId="77777777" w:rsidTr="002231DA">
        <w:trPr>
          <w:trHeight w:val="1526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F8E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Toxic epidermal necrolysis or Stevens–Johnson syndrome characterised by: </w:t>
            </w:r>
          </w:p>
          <w:p w14:paraId="49F8174E" w14:textId="77777777" w:rsidR="00DE5072" w:rsidRPr="00DE5072" w:rsidRDefault="00DE5072" w:rsidP="002231D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painful rash and fever (often early signs) </w:t>
            </w:r>
          </w:p>
          <w:p w14:paraId="4DA2FAC1" w14:textId="77777777" w:rsidR="00DE5072" w:rsidRPr="00DE5072" w:rsidRDefault="00DE5072" w:rsidP="002231D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mucosal or cutaneous erosions </w:t>
            </w:r>
          </w:p>
          <w:p w14:paraId="007A9BC7" w14:textId="77777777" w:rsidR="00DE5072" w:rsidRPr="00DE5072" w:rsidRDefault="00DE5072" w:rsidP="002231D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vesicles, blistering or epidermal detachment </w:t>
            </w:r>
          </w:p>
          <w:p w14:paraId="7AB6D6B7" w14:textId="77777777" w:rsidR="00DE5072" w:rsidRPr="00DE5072" w:rsidRDefault="00DE5072" w:rsidP="002231D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red purpuric macules or erythema multiforme </w:t>
            </w:r>
          </w:p>
          <w:p w14:paraId="535817E0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D93E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Onset usually 7–14 days after first drug exposure or within 3 days of second exposure </w:t>
            </w:r>
          </w:p>
        </w:tc>
      </w:tr>
      <w:tr w:rsidR="00DE5072" w:rsidRPr="00DE5072" w14:paraId="08ABB589" w14:textId="77777777" w:rsidTr="002231DA">
        <w:trPr>
          <w:trHeight w:val="1226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949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Acute generalised </w:t>
            </w:r>
            <w:proofErr w:type="spellStart"/>
            <w:r w:rsidRPr="00DE5072">
              <w:rPr>
                <w:sz w:val="22"/>
                <w:szCs w:val="22"/>
              </w:rPr>
              <w:t>exanthematous</w:t>
            </w:r>
            <w:proofErr w:type="spellEnd"/>
            <w:r w:rsidRPr="00DE5072">
              <w:rPr>
                <w:sz w:val="22"/>
                <w:szCs w:val="22"/>
              </w:rPr>
              <w:t xml:space="preserve"> pustulosis (AGEP) characterised by: </w:t>
            </w:r>
          </w:p>
          <w:p w14:paraId="3610A62E" w14:textId="77777777" w:rsidR="00DE5072" w:rsidRPr="00DE5072" w:rsidRDefault="00DE5072" w:rsidP="002231DA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widespread pustules </w:t>
            </w:r>
          </w:p>
          <w:p w14:paraId="37C3F253" w14:textId="77777777" w:rsidR="00DE5072" w:rsidRPr="00DE5072" w:rsidRDefault="00DE5072" w:rsidP="002231DA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fever </w:t>
            </w:r>
          </w:p>
          <w:p w14:paraId="73343C28" w14:textId="77777777" w:rsidR="00DE5072" w:rsidRPr="00DE5072" w:rsidRDefault="00DE5072" w:rsidP="002231DA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neutrophilia </w:t>
            </w:r>
          </w:p>
          <w:p w14:paraId="35F4BADA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B77" w14:textId="77777777" w:rsidR="00DE5072" w:rsidRPr="00DE5072" w:rsidRDefault="00DE5072" w:rsidP="002231DA">
            <w:pPr>
              <w:pStyle w:val="Default"/>
              <w:rPr>
                <w:sz w:val="22"/>
                <w:szCs w:val="22"/>
              </w:rPr>
            </w:pPr>
            <w:r w:rsidRPr="00DE5072">
              <w:rPr>
                <w:sz w:val="22"/>
                <w:szCs w:val="22"/>
              </w:rPr>
              <w:t xml:space="preserve">Onset usually 3–5 days after first drug exposure </w:t>
            </w:r>
          </w:p>
        </w:tc>
      </w:tr>
    </w:tbl>
    <w:p w14:paraId="3E60102D" w14:textId="77777777" w:rsidR="00DE5072" w:rsidRDefault="00DE5072" w:rsidP="00DE5072">
      <w:pPr>
        <w:spacing w:before="120" w:after="240" w:line="240" w:lineRule="auto"/>
        <w:outlineLvl w:val="1"/>
        <w:rPr>
          <w:rFonts w:ascii="Arial" w:eastAsia="Times New Roman" w:hAnsi="Arial" w:cs="Arial"/>
          <w:b/>
          <w:bCs/>
          <w:kern w:val="0"/>
          <w:sz w:val="32"/>
          <w:szCs w:val="48"/>
          <w14:ligatures w14:val="none"/>
        </w:rPr>
      </w:pPr>
    </w:p>
    <w:p w14:paraId="06596C29" w14:textId="77777777" w:rsidR="00DE5072" w:rsidRDefault="00DE5072" w:rsidP="00DE5072">
      <w:pPr>
        <w:spacing w:before="120" w:after="240" w:line="240" w:lineRule="auto"/>
        <w:outlineLvl w:val="1"/>
        <w:rPr>
          <w:rFonts w:ascii="Arial" w:eastAsia="Times New Roman" w:hAnsi="Arial" w:cs="Arial"/>
          <w:b/>
          <w:bCs/>
          <w:kern w:val="0"/>
          <w:sz w:val="32"/>
          <w:szCs w:val="48"/>
          <w14:ligatures w14:val="none"/>
        </w:rPr>
      </w:pPr>
    </w:p>
    <w:p w14:paraId="2F972442" w14:textId="77777777" w:rsidR="00DE5072" w:rsidRDefault="00DE5072" w:rsidP="00DE5072">
      <w:pPr>
        <w:spacing w:before="120" w:after="240" w:line="240" w:lineRule="auto"/>
        <w:outlineLvl w:val="1"/>
        <w:rPr>
          <w:rFonts w:ascii="Arial" w:eastAsia="Times New Roman" w:hAnsi="Arial" w:cs="Arial"/>
          <w:b/>
          <w:bCs/>
          <w:kern w:val="0"/>
          <w:sz w:val="32"/>
          <w:szCs w:val="48"/>
          <w14:ligatures w14:val="none"/>
        </w:rPr>
      </w:pPr>
    </w:p>
    <w:p w14:paraId="5456B6C4" w14:textId="77777777" w:rsidR="00DE5072" w:rsidRDefault="00DE5072" w:rsidP="00DE5072"/>
    <w:p w14:paraId="20C54CC2" w14:textId="77777777" w:rsidR="00DE5072" w:rsidRPr="00DE5072" w:rsidRDefault="00DE5072" w:rsidP="00CF4B55"/>
    <w:sectPr w:rsidR="00DE5072" w:rsidRPr="00DE5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75D5F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E2DAB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3B9855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E4867E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71540869">
    <w:abstractNumId w:val="0"/>
  </w:num>
  <w:num w:numId="2" w16cid:durableId="426778177">
    <w:abstractNumId w:val="3"/>
  </w:num>
  <w:num w:numId="3" w16cid:durableId="1407141862">
    <w:abstractNumId w:val="2"/>
  </w:num>
  <w:num w:numId="4" w16cid:durableId="132063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70172"/>
    <w:rsid w:val="0000239C"/>
    <w:rsid w:val="000029E7"/>
    <w:rsid w:val="0001209E"/>
    <w:rsid w:val="00015F6C"/>
    <w:rsid w:val="00050C37"/>
    <w:rsid w:val="000F118F"/>
    <w:rsid w:val="001110BF"/>
    <w:rsid w:val="0011155B"/>
    <w:rsid w:val="001A77D9"/>
    <w:rsid w:val="001E41A0"/>
    <w:rsid w:val="00220337"/>
    <w:rsid w:val="00221EF6"/>
    <w:rsid w:val="00223678"/>
    <w:rsid w:val="002405EA"/>
    <w:rsid w:val="00272AC6"/>
    <w:rsid w:val="00274157"/>
    <w:rsid w:val="002972C9"/>
    <w:rsid w:val="002C21F5"/>
    <w:rsid w:val="002D4D5F"/>
    <w:rsid w:val="002F0751"/>
    <w:rsid w:val="00300DA4"/>
    <w:rsid w:val="00333FBE"/>
    <w:rsid w:val="003407AA"/>
    <w:rsid w:val="003521E3"/>
    <w:rsid w:val="003578A7"/>
    <w:rsid w:val="00363B74"/>
    <w:rsid w:val="00390945"/>
    <w:rsid w:val="00396E95"/>
    <w:rsid w:val="003B28EC"/>
    <w:rsid w:val="003C22C6"/>
    <w:rsid w:val="003C7DDE"/>
    <w:rsid w:val="003D57AB"/>
    <w:rsid w:val="003E275A"/>
    <w:rsid w:val="003E36DD"/>
    <w:rsid w:val="003E5130"/>
    <w:rsid w:val="00400C30"/>
    <w:rsid w:val="004053FC"/>
    <w:rsid w:val="00413E0B"/>
    <w:rsid w:val="00482B61"/>
    <w:rsid w:val="00495600"/>
    <w:rsid w:val="004B0EAB"/>
    <w:rsid w:val="004C4434"/>
    <w:rsid w:val="004D7D14"/>
    <w:rsid w:val="004F0A16"/>
    <w:rsid w:val="004F41CA"/>
    <w:rsid w:val="005144BB"/>
    <w:rsid w:val="00533FDA"/>
    <w:rsid w:val="00537993"/>
    <w:rsid w:val="00553655"/>
    <w:rsid w:val="005C5A14"/>
    <w:rsid w:val="005E5F77"/>
    <w:rsid w:val="00614287"/>
    <w:rsid w:val="00625559"/>
    <w:rsid w:val="00634536"/>
    <w:rsid w:val="006464BA"/>
    <w:rsid w:val="006517B8"/>
    <w:rsid w:val="0068472C"/>
    <w:rsid w:val="006A5875"/>
    <w:rsid w:val="006B70F4"/>
    <w:rsid w:val="006C234F"/>
    <w:rsid w:val="006C54B0"/>
    <w:rsid w:val="006E5158"/>
    <w:rsid w:val="00705258"/>
    <w:rsid w:val="007208EA"/>
    <w:rsid w:val="007303C1"/>
    <w:rsid w:val="0073300E"/>
    <w:rsid w:val="007809F8"/>
    <w:rsid w:val="00790968"/>
    <w:rsid w:val="00791233"/>
    <w:rsid w:val="0079724E"/>
    <w:rsid w:val="007A55F7"/>
    <w:rsid w:val="007A5F7A"/>
    <w:rsid w:val="007C4858"/>
    <w:rsid w:val="007D0AA5"/>
    <w:rsid w:val="00850A78"/>
    <w:rsid w:val="00860B3B"/>
    <w:rsid w:val="00870172"/>
    <w:rsid w:val="00886290"/>
    <w:rsid w:val="0089301B"/>
    <w:rsid w:val="008C0061"/>
    <w:rsid w:val="008C38DE"/>
    <w:rsid w:val="008D031E"/>
    <w:rsid w:val="008E1137"/>
    <w:rsid w:val="008E3504"/>
    <w:rsid w:val="008F7F4A"/>
    <w:rsid w:val="00910A55"/>
    <w:rsid w:val="00910AFC"/>
    <w:rsid w:val="009845E6"/>
    <w:rsid w:val="00995FF7"/>
    <w:rsid w:val="009A73D8"/>
    <w:rsid w:val="009B6BCE"/>
    <w:rsid w:val="009D0BC3"/>
    <w:rsid w:val="009D6A55"/>
    <w:rsid w:val="009F3A21"/>
    <w:rsid w:val="00A1351E"/>
    <w:rsid w:val="00A15FCA"/>
    <w:rsid w:val="00A65596"/>
    <w:rsid w:val="00A6791F"/>
    <w:rsid w:val="00A717E3"/>
    <w:rsid w:val="00A763D5"/>
    <w:rsid w:val="00A878AB"/>
    <w:rsid w:val="00AD30D8"/>
    <w:rsid w:val="00B07A01"/>
    <w:rsid w:val="00B400FB"/>
    <w:rsid w:val="00B46665"/>
    <w:rsid w:val="00B51A23"/>
    <w:rsid w:val="00B72D03"/>
    <w:rsid w:val="00B7459E"/>
    <w:rsid w:val="00BA0E8E"/>
    <w:rsid w:val="00BA4CC1"/>
    <w:rsid w:val="00BB17A5"/>
    <w:rsid w:val="00BB189F"/>
    <w:rsid w:val="00BF2B9C"/>
    <w:rsid w:val="00C07E68"/>
    <w:rsid w:val="00C704ED"/>
    <w:rsid w:val="00CA2DB8"/>
    <w:rsid w:val="00CB4E4E"/>
    <w:rsid w:val="00CC43B6"/>
    <w:rsid w:val="00CD3B10"/>
    <w:rsid w:val="00CD6CAB"/>
    <w:rsid w:val="00CF1095"/>
    <w:rsid w:val="00CF397D"/>
    <w:rsid w:val="00CF4B55"/>
    <w:rsid w:val="00D024A9"/>
    <w:rsid w:val="00D06400"/>
    <w:rsid w:val="00D40953"/>
    <w:rsid w:val="00D5030A"/>
    <w:rsid w:val="00D64584"/>
    <w:rsid w:val="00D71F45"/>
    <w:rsid w:val="00D77155"/>
    <w:rsid w:val="00DA4654"/>
    <w:rsid w:val="00DE4220"/>
    <w:rsid w:val="00DE5072"/>
    <w:rsid w:val="00DF3B0B"/>
    <w:rsid w:val="00DF3D51"/>
    <w:rsid w:val="00E85C46"/>
    <w:rsid w:val="00E86081"/>
    <w:rsid w:val="00EA1538"/>
    <w:rsid w:val="00EC06D6"/>
    <w:rsid w:val="00EC2D44"/>
    <w:rsid w:val="00EE383C"/>
    <w:rsid w:val="00F02560"/>
    <w:rsid w:val="00F14C28"/>
    <w:rsid w:val="00F3136A"/>
    <w:rsid w:val="00F378F5"/>
    <w:rsid w:val="00F45C5E"/>
    <w:rsid w:val="00F72A3B"/>
    <w:rsid w:val="00FA41DD"/>
    <w:rsid w:val="00FA7EF4"/>
    <w:rsid w:val="00FB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7603"/>
  <w15:chartTrackingRefBased/>
  <w15:docId w15:val="{2203E70B-EDCD-4AC1-AC4A-A7253523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01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01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017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01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017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01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01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01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01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017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01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017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0172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0172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01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01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01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01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01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01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017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01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01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01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01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017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17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017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0172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rsid w:val="00CC43B6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E275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275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8F7F4A"/>
    <w:pPr>
      <w:spacing w:after="0" w:line="240" w:lineRule="auto"/>
    </w:pPr>
    <w:rPr>
      <w:rFonts w:ascii="Arial" w:eastAsia="MS PGothic" w:hAnsi="Arial" w:cs="Arial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F7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ice.org.uk/guidance/cg1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POWELL, Neil (ROYAL CORNWALL HOSPITALS NHS TRUST)</dc:creator>
  <cp:keywords/>
  <dc:description/>
  <cp:lastModifiedBy>POWELL, Neil (ROYAL CORNWALL HOSPITALS NHS TRUST)</cp:lastModifiedBy>
  <cp:revision>8</cp:revision>
  <dcterms:created xsi:type="dcterms:W3CDTF">2025-02-24T12:20:00Z</dcterms:created>
  <dcterms:modified xsi:type="dcterms:W3CDTF">2025-03-31T11:06:00Z</dcterms:modified>
</cp:coreProperties>
</file>